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sz w:val="36"/>
          <w:szCs w:val="36"/>
        </w:rPr>
      </w:pPr>
      <w:r>
        <w:rPr>
          <w:sz w:val="36"/>
          <w:szCs w:val="36"/>
        </w:rPr>
        <w:t>浙江水利水电学院听课</w:t>
      </w:r>
      <w:r>
        <w:rPr>
          <w:rFonts w:hint="eastAsia"/>
          <w:sz w:val="36"/>
          <w:szCs w:val="36"/>
        </w:rPr>
        <w:t>评价</w:t>
      </w:r>
      <w:r>
        <w:rPr>
          <w:sz w:val="36"/>
          <w:szCs w:val="36"/>
        </w:rPr>
        <w:t>记录表（理论课）</w:t>
      </w:r>
    </w:p>
    <w:p>
      <w:pPr>
        <w:jc w:val="center"/>
      </w:pPr>
      <w:r>
        <w:rPr>
          <w:rFonts w:hint="eastAsia"/>
        </w:rPr>
        <w:t>（教师</w:t>
      </w:r>
      <w:bookmarkStart w:id="0" w:name="_GoBack"/>
      <w:bookmarkEnd w:id="0"/>
      <w:r>
        <w:rPr>
          <w:rFonts w:hint="eastAsia"/>
        </w:rPr>
        <w:t>用表）</w:t>
      </w:r>
    </w:p>
    <w:tbl>
      <w:tblPr>
        <w:tblStyle w:val="8"/>
        <w:tblW w:w="9349" w:type="dxa"/>
        <w:jc w:val="center"/>
        <w:tblInd w:w="-7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567"/>
        <w:gridCol w:w="3686"/>
        <w:gridCol w:w="425"/>
        <w:gridCol w:w="557"/>
        <w:gridCol w:w="10"/>
        <w:gridCol w:w="567"/>
        <w:gridCol w:w="567"/>
        <w:gridCol w:w="56"/>
        <w:gridCol w:w="653"/>
        <w:gridCol w:w="567"/>
        <w:gridCol w:w="46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58"/>
              <w:ind w:left="127" w:right="121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课程名称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</w:rPr>
              <w:t>任课教师</w:t>
            </w:r>
          </w:p>
        </w:tc>
        <w:tc>
          <w:tcPr>
            <w:tcW w:w="2303" w:type="dxa"/>
            <w:gridSpan w:val="5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801" w:type="dxa"/>
            <w:gridSpan w:val="2"/>
            <w:vAlign w:val="center"/>
          </w:tcPr>
          <w:p>
            <w:pPr>
              <w:pStyle w:val="12"/>
              <w:spacing w:before="147"/>
              <w:ind w:left="127" w:right="119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授课班级</w:t>
            </w:r>
          </w:p>
        </w:tc>
        <w:tc>
          <w:tcPr>
            <w:tcW w:w="4111" w:type="dxa"/>
            <w:gridSpan w:val="2"/>
            <w:vAlign w:val="center"/>
          </w:tcPr>
          <w:p>
            <w:pPr>
              <w:pStyle w:val="12"/>
              <w:spacing w:before="147"/>
              <w:ind w:left="1298"/>
              <w:jc w:val="center"/>
              <w:rPr>
                <w:rFonts w:ascii="宋体" w:eastAsia="宋体"/>
                <w:sz w:val="23"/>
              </w:rPr>
            </w:pPr>
            <w:r>
              <w:rPr>
                <w:rFonts w:hint="eastAsia" w:ascii="宋体" w:eastAsia="宋体"/>
                <w:sz w:val="23"/>
              </w:rPr>
              <w:t xml:space="preserve">        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pStyle w:val="12"/>
              <w:spacing w:before="147"/>
              <w:ind w:left="160"/>
              <w:jc w:val="center"/>
              <w:rPr>
                <w:rFonts w:asciiTheme="minorEastAsia" w:hAnsiTheme="minorEastAsia" w:eastAsiaTheme="minorEastAsia"/>
                <w:b/>
                <w:sz w:val="23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授课地点</w:t>
            </w:r>
          </w:p>
        </w:tc>
        <w:tc>
          <w:tcPr>
            <w:tcW w:w="2303" w:type="dxa"/>
            <w:gridSpan w:val="5"/>
            <w:vAlign w:val="center"/>
          </w:tcPr>
          <w:p>
            <w:pPr>
              <w:pStyle w:val="12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1801" w:type="dxa"/>
            <w:gridSpan w:val="2"/>
          </w:tcPr>
          <w:p>
            <w:pPr>
              <w:pStyle w:val="12"/>
              <w:spacing w:before="146"/>
              <w:ind w:left="127" w:right="121"/>
              <w:jc w:val="center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学生到课情况</w:t>
            </w:r>
          </w:p>
        </w:tc>
        <w:tc>
          <w:tcPr>
            <w:tcW w:w="7548" w:type="dxa"/>
            <w:gridSpan w:val="10"/>
          </w:tcPr>
          <w:p>
            <w:pPr>
              <w:pStyle w:val="12"/>
              <w:tabs>
                <w:tab w:val="left" w:pos="3257"/>
              </w:tabs>
              <w:spacing w:before="146"/>
              <w:ind w:left="89"/>
              <w:rPr>
                <w:rFonts w:ascii="宋体" w:eastAsia="宋体"/>
                <w:sz w:val="23"/>
              </w:rPr>
            </w:pPr>
            <w:r>
              <w:rPr>
                <w:rFonts w:hint="eastAsia" w:ascii="宋体" w:eastAsia="宋体"/>
                <w:sz w:val="23"/>
              </w:rPr>
              <w:t>按</w:t>
            </w:r>
            <w:r>
              <w:rPr>
                <w:rFonts w:hint="eastAsia" w:ascii="宋体" w:eastAsia="宋体"/>
                <w:spacing w:val="-3"/>
                <w:sz w:val="23"/>
              </w:rPr>
              <w:t>时</w:t>
            </w:r>
            <w:r>
              <w:rPr>
                <w:rFonts w:hint="eastAsia" w:ascii="宋体" w:eastAsia="宋体"/>
                <w:sz w:val="23"/>
              </w:rPr>
              <w:t>到课</w:t>
            </w:r>
            <w:r>
              <w:rPr>
                <w:rFonts w:hint="eastAsia" w:ascii="宋体" w:eastAsia="宋体"/>
                <w:spacing w:val="-3"/>
                <w:sz w:val="23"/>
              </w:rPr>
              <w:t>学</w:t>
            </w:r>
            <w:r>
              <w:rPr>
                <w:rFonts w:hint="eastAsia" w:ascii="宋体" w:eastAsia="宋体"/>
                <w:sz w:val="23"/>
              </w:rPr>
              <w:t>生数：</w:t>
            </w:r>
            <w:r>
              <w:rPr>
                <w:rFonts w:hint="eastAsia" w:ascii="宋体" w:eastAsia="宋体"/>
                <w:sz w:val="23"/>
              </w:rPr>
              <w:tab/>
            </w:r>
            <w:r>
              <w:rPr>
                <w:rFonts w:hint="eastAsia" w:ascii="宋体" w:eastAsia="宋体"/>
                <w:sz w:val="23"/>
              </w:rPr>
              <w:t>迟</w:t>
            </w:r>
            <w:r>
              <w:rPr>
                <w:rFonts w:hint="eastAsia" w:ascii="宋体" w:eastAsia="宋体"/>
                <w:spacing w:val="-3"/>
                <w:sz w:val="23"/>
              </w:rPr>
              <w:t>到</w:t>
            </w:r>
            <w:r>
              <w:rPr>
                <w:rFonts w:hint="eastAsia" w:ascii="宋体" w:eastAsia="宋体"/>
                <w:sz w:val="23"/>
              </w:rPr>
              <w:t>学生</w:t>
            </w:r>
            <w:r>
              <w:rPr>
                <w:rFonts w:hint="eastAsia" w:ascii="宋体" w:eastAsia="宋体"/>
                <w:spacing w:val="-3"/>
                <w:sz w:val="23"/>
              </w:rPr>
              <w:t>数</w:t>
            </w:r>
            <w:r>
              <w:rPr>
                <w:rFonts w:hint="eastAsia" w:ascii="宋体" w:eastAsia="宋体"/>
                <w:sz w:val="23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9349" w:type="dxa"/>
            <w:gridSpan w:val="12"/>
          </w:tcPr>
          <w:p>
            <w:pPr>
              <w:pStyle w:val="12"/>
              <w:spacing w:before="137"/>
              <w:ind w:left="89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主要内容及基本情况：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pStyle w:val="12"/>
              <w:spacing w:before="1" w:line="252" w:lineRule="auto"/>
              <w:ind w:left="95" w:right="87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一级指标</w:t>
            </w:r>
          </w:p>
        </w:tc>
        <w:tc>
          <w:tcPr>
            <w:tcW w:w="5235" w:type="dxa"/>
            <w:gridSpan w:val="4"/>
            <w:vMerge w:val="restart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评价内容</w:t>
            </w:r>
          </w:p>
        </w:tc>
        <w:tc>
          <w:tcPr>
            <w:tcW w:w="2880" w:type="dxa"/>
            <w:gridSpan w:val="7"/>
            <w:vAlign w:val="center"/>
          </w:tcPr>
          <w:p>
            <w:pPr>
              <w:pStyle w:val="12"/>
              <w:spacing w:before="6"/>
              <w:ind w:left="182" w:right="17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3"/>
              </w:rPr>
              <w:t>等级及分值</w:t>
            </w:r>
            <w:r>
              <w:rPr>
                <w:rFonts w:hint="eastAsia" w:ascii="宋体" w:hAnsi="宋体" w:eastAsia="宋体" w:cs="宋体"/>
                <w:w w:val="105"/>
                <w:sz w:val="16"/>
                <w:szCs w:val="16"/>
              </w:rPr>
              <w:t>（相应栏打</w:t>
            </w:r>
            <w:r>
              <w:rPr>
                <w:rFonts w:hint="eastAsia" w:ascii="宋体" w:hAnsi="宋体" w:eastAsia="宋体" w:cs="宋体"/>
                <w:w w:val="103"/>
                <w:sz w:val="16"/>
                <w:szCs w:val="16"/>
              </w:rPr>
              <w:t>√）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34" w:type="dxa"/>
            <w:vMerge w:val="continue"/>
            <w:tcBorders>
              <w:top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Merge w:val="continue"/>
            <w:tcBorders>
              <w:top w:val="nil"/>
            </w:tcBorders>
            <w:vAlign w:val="center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adjustRightInd w:val="0"/>
              <w:snapToGrid w:val="0"/>
              <w:ind w:left="146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优秀</w:t>
            </w:r>
          </w:p>
          <w:p>
            <w:pPr>
              <w:pStyle w:val="12"/>
              <w:adjustRightInd w:val="0"/>
              <w:snapToGrid w:val="0"/>
              <w:ind w:left="14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10分</w:t>
            </w: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adjustRightInd w:val="0"/>
              <w:snapToGrid w:val="0"/>
              <w:ind w:left="142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良好</w:t>
            </w:r>
          </w:p>
          <w:p>
            <w:pPr>
              <w:pStyle w:val="12"/>
              <w:adjustRightInd w:val="0"/>
              <w:snapToGrid w:val="0"/>
              <w:ind w:left="142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8分</w:t>
            </w:r>
          </w:p>
        </w:tc>
        <w:tc>
          <w:tcPr>
            <w:tcW w:w="653" w:type="dxa"/>
            <w:vAlign w:val="center"/>
          </w:tcPr>
          <w:p>
            <w:pPr>
              <w:pStyle w:val="12"/>
              <w:adjustRightInd w:val="0"/>
              <w:snapToGrid w:val="0"/>
              <w:ind w:left="151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一般</w:t>
            </w:r>
          </w:p>
          <w:p>
            <w:pPr>
              <w:pStyle w:val="12"/>
              <w:adjustRightInd w:val="0"/>
              <w:snapToGrid w:val="0"/>
              <w:ind w:left="151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6分</w:t>
            </w:r>
          </w:p>
        </w:tc>
        <w:tc>
          <w:tcPr>
            <w:tcW w:w="567" w:type="dxa"/>
            <w:vAlign w:val="center"/>
          </w:tcPr>
          <w:p>
            <w:pPr>
              <w:pStyle w:val="12"/>
              <w:adjustRightInd w:val="0"/>
              <w:snapToGrid w:val="0"/>
              <w:ind w:left="145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较差</w:t>
            </w:r>
          </w:p>
          <w:p>
            <w:pPr>
              <w:pStyle w:val="12"/>
              <w:adjustRightInd w:val="0"/>
              <w:snapToGrid w:val="0"/>
              <w:ind w:left="145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4分</w:t>
            </w:r>
          </w:p>
        </w:tc>
        <w:tc>
          <w:tcPr>
            <w:tcW w:w="460" w:type="dxa"/>
            <w:vAlign w:val="center"/>
          </w:tcPr>
          <w:p>
            <w:pPr>
              <w:pStyle w:val="12"/>
              <w:adjustRightInd w:val="0"/>
              <w:snapToGrid w:val="0"/>
              <w:ind w:left="157"/>
              <w:jc w:val="center"/>
              <w:rPr>
                <w:rFonts w:ascii="宋体" w:hAnsi="宋体" w:eastAsia="宋体" w:cs="宋体"/>
                <w:w w:val="103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差</w:t>
            </w:r>
          </w:p>
          <w:p>
            <w:pPr>
              <w:pStyle w:val="12"/>
              <w:adjustRightInd w:val="0"/>
              <w:snapToGrid w:val="0"/>
              <w:ind w:left="157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w w:val="103"/>
                <w:sz w:val="18"/>
                <w:szCs w:val="18"/>
              </w:rPr>
              <w:t>2分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价值引领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7" w:lineRule="exact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1.发挥课程育人作用，传递正确价值理念，注重“</w:t>
            </w:r>
            <w:r>
              <w:rPr>
                <w:rFonts w:hint="eastAsia" w:ascii="仿宋_GB2312" w:hAnsi="仿宋_GB2312" w:eastAsia="仿宋_GB2312"/>
                <w:color w:val="000000"/>
                <w:sz w:val="20"/>
                <w:szCs w:val="20"/>
              </w:rPr>
              <w:t>水文化+”育人元素融入，践行水院“课程思政十法”。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教学态度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before="35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2.为人师表，仪表整洁，精神饱满，言行文明，课堂管理严格，师生关系融洽。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1234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教学</w:t>
            </w:r>
            <w:r>
              <w:rPr>
                <w:rFonts w:ascii="仿宋" w:hAnsi="仿宋" w:eastAsia="仿宋"/>
                <w:b/>
                <w:sz w:val="24"/>
                <w:szCs w:val="24"/>
              </w:rPr>
              <w:t>理念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before="35"/>
              <w:ind w:left="110" w:leftChars="50"/>
              <w:rPr>
                <w:rFonts w:ascii="仿宋" w:hAnsi="仿宋" w:eastAsia="仿宋" w:cs="宋体"/>
                <w:w w:val="105"/>
                <w:sz w:val="20"/>
                <w:szCs w:val="20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20"/>
                <w:szCs w:val="20"/>
              </w:rPr>
              <w:t>3.</w:t>
            </w:r>
            <w:r>
              <w:rPr>
                <w:rFonts w:ascii="仿宋_GB2312" w:hAnsi="仿宋_GB2312" w:eastAsia="仿宋_GB2312"/>
                <w:color w:val="000000"/>
                <w:sz w:val="20"/>
                <w:szCs w:val="20"/>
              </w:rPr>
              <w:t>以“</w:t>
            </w:r>
            <w:r>
              <w:rPr>
                <w:rFonts w:hint="eastAsia" w:ascii="仿宋_GB2312" w:hAnsi="仿宋_GB2312" w:eastAsia="仿宋_GB2312"/>
                <w:color w:val="000000"/>
                <w:sz w:val="20"/>
                <w:szCs w:val="20"/>
              </w:rPr>
              <w:t>学</w:t>
            </w:r>
            <w:r>
              <w:rPr>
                <w:rFonts w:ascii="仿宋_GB2312" w:hAnsi="仿宋_GB2312" w:eastAsia="仿宋_GB2312"/>
                <w:color w:val="000000"/>
                <w:sz w:val="20"/>
                <w:szCs w:val="20"/>
              </w:rPr>
              <w:t>”</w:t>
            </w:r>
            <w:r>
              <w:rPr>
                <w:rFonts w:hint="eastAsia" w:ascii="仿宋_GB2312" w:hAnsi="仿宋_GB2312" w:eastAsia="仿宋_GB2312"/>
                <w:color w:val="000000"/>
                <w:sz w:val="20"/>
                <w:szCs w:val="20"/>
              </w:rPr>
              <w:t>为</w:t>
            </w:r>
            <w:r>
              <w:rPr>
                <w:rFonts w:ascii="仿宋_GB2312" w:hAnsi="仿宋_GB2312" w:eastAsia="仿宋_GB2312"/>
                <w:color w:val="000000"/>
                <w:sz w:val="20"/>
                <w:szCs w:val="20"/>
              </w:rPr>
              <w:t>中心，</w:t>
            </w:r>
            <w:r>
              <w:rPr>
                <w:rFonts w:hint="eastAsia" w:ascii="仿宋_GB2312" w:hAnsi="仿宋_GB2312" w:eastAsia="仿宋_GB2312"/>
                <w:color w:val="000000"/>
                <w:sz w:val="20"/>
                <w:szCs w:val="20"/>
              </w:rPr>
              <w:t>软硬能力并重，注重培养学生解决复杂问题的综合能力和思维，激发自主学习，体现高阶性。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教学内容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6" w:lineRule="exact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pacing w:val="-7"/>
                <w:sz w:val="20"/>
                <w:szCs w:val="20"/>
              </w:rPr>
              <w:t>4.与大纲吻合，内容丰富、充实，有广度、深度和挑战度，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学生得到思考、联想、创新的启迪。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6" w:lineRule="exact"/>
              <w:ind w:left="110" w:leftChars="50"/>
              <w:rPr>
                <w:rFonts w:ascii="仿宋" w:hAnsi="仿宋" w:eastAsia="仿宋" w:cs="宋体"/>
                <w:spacing w:val="-7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5.理论联系实际，反映</w:t>
            </w:r>
            <w:r>
              <w:rPr>
                <w:rFonts w:hint="eastAsia" w:ascii="仿宋" w:hAnsi="仿宋" w:eastAsia="仿宋" w:cs="宋体"/>
                <w:sz w:val="20"/>
                <w:szCs w:val="20"/>
              </w:rPr>
              <w:t>社会热点或学科前沿，体现创新性，学生获得新思想、新概念、新成果的启发。（体育音乐美术等术科：理论系统完整，与实践结合，易于理解，指导性强）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方法教材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6" w:lineRule="exact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6.语言简洁规范、脱稿讲授、有激情与感染力；</w:t>
            </w:r>
            <w:r>
              <w:rPr>
                <w:rFonts w:ascii="仿宋" w:hAnsi="仿宋" w:eastAsia="仿宋" w:cs="宋体"/>
                <w:w w:val="105"/>
                <w:sz w:val="20"/>
                <w:szCs w:val="20"/>
              </w:rPr>
              <w:t>PPT或教学视频制作美观，</w:t>
            </w:r>
            <w:r>
              <w:rPr>
                <w:rFonts w:hint="eastAsia" w:ascii="仿宋" w:hAnsi="仿宋" w:eastAsia="仿宋" w:cs="宋体"/>
                <w:sz w:val="20"/>
                <w:szCs w:val="20"/>
              </w:rPr>
              <w:t>板书合理清晰，有效利用教学媒体和教具。（体育音乐美术等术科：讲解和演示正确，示范标准、动作规范）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6" w:lineRule="exact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7.教学安排合理，单元时长适中，无“满堂灌”现象；方法多样有效，如线上线下混合、问题导向、案例导向、项目式、体验式、态度考核等等。（体育音乐美术等术科：量和难度适中，对提高技法成效明显，能根据个体差异，分别耐心指导）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ind w:left="110" w:leftChars="50"/>
              <w:rPr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sz w:val="20"/>
                <w:szCs w:val="20"/>
              </w:rPr>
              <w:t>8.选用具有思想性、科学性、时代性等特点的优质教材，使用效果好。（体育音乐美术等术科：准备充分，相关教学场地和器材安排合理。）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23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学习效果</w:t>
            </w: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5" w:lineRule="exact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9.学习积极性与精神状态被调动，气氛活跃，师生互动好；课堂纪律好；无瞌睡、玩手机现象。</w:t>
            </w:r>
            <w:r>
              <w:rPr>
                <w:rFonts w:hint="eastAsia" w:ascii="仿宋" w:hAnsi="仿宋" w:eastAsia="仿宋" w:cs="宋体"/>
                <w:sz w:val="20"/>
                <w:szCs w:val="20"/>
              </w:rPr>
              <w:t>（体育音乐美术等术科：学生自我锻炼意识增强、运动技能提高。）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  <w:jc w:val="center"/>
        </w:trPr>
        <w:tc>
          <w:tcPr>
            <w:tcW w:w="1234" w:type="dxa"/>
            <w:vMerge w:val="continue"/>
            <w:vAlign w:val="center"/>
          </w:tcPr>
          <w:p>
            <w:pPr>
              <w:pStyle w:val="12"/>
              <w:spacing w:before="117"/>
              <w:ind w:left="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235" w:type="dxa"/>
            <w:gridSpan w:val="4"/>
            <w:vAlign w:val="center"/>
          </w:tcPr>
          <w:p>
            <w:pPr>
              <w:pStyle w:val="12"/>
              <w:spacing w:line="256" w:lineRule="exact"/>
              <w:ind w:left="110" w:leftChars="50"/>
              <w:rPr>
                <w:rFonts w:ascii="仿宋" w:hAnsi="仿宋" w:eastAsia="仿宋" w:cs="宋体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10.不另增加学时</w:t>
            </w:r>
            <w:r>
              <w:rPr>
                <w:rFonts w:ascii="仿宋" w:hAnsi="仿宋" w:eastAsia="仿宋" w:cs="宋体"/>
                <w:w w:val="105"/>
                <w:sz w:val="20"/>
                <w:szCs w:val="20"/>
              </w:rPr>
              <w:t>,育人元素润物无声、潜移默化融入；</w:t>
            </w:r>
            <w:r>
              <w:rPr>
                <w:rFonts w:hint="eastAsia" w:ascii="仿宋" w:hAnsi="仿宋" w:eastAsia="仿宋" w:cs="宋体"/>
                <w:w w:val="105"/>
                <w:sz w:val="20"/>
                <w:szCs w:val="20"/>
              </w:rPr>
              <w:t>有情感共鸣、启迪思想、触动灵魂的动心动情效应。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6469" w:type="dxa"/>
            <w:gridSpan w:val="5"/>
            <w:vAlign w:val="center"/>
          </w:tcPr>
          <w:p>
            <w:pPr>
              <w:rPr>
                <w:rFonts w:asciiTheme="minorEastAsia" w:hAnsiTheme="minorEastAsia" w:eastAsiaTheme="minorEastAsia"/>
                <w:b/>
              </w:rPr>
            </w:pPr>
            <w:r>
              <w:rPr>
                <w:rFonts w:hint="eastAsia" w:ascii="宋体" w:eastAsia="宋体"/>
                <w:b/>
                <w:sz w:val="23"/>
              </w:rPr>
              <w:t>总体评价：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优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（100-90）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良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（89-80）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中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（79-70）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及格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（69-60）</w:t>
            </w:r>
            <w:r>
              <w:rPr>
                <w:rFonts w:hint="eastAsia" w:ascii="仿宋_GB2312" w:hAnsi="仿宋_GB2312" w:eastAsia="仿宋_GB2312"/>
              </w:rPr>
              <w:t xml:space="preserve"> </w:t>
            </w:r>
            <w:r>
              <w:rPr>
                <w:rFonts w:hint="eastAsia" w:ascii="仿宋_GB2312" w:hAnsi="仿宋_GB2312" w:eastAsia="仿宋_GB2312"/>
                <w:szCs w:val="21"/>
              </w:rPr>
              <w:t>□</w:t>
            </w:r>
            <w:r>
              <w:rPr>
                <w:rFonts w:hint="eastAsia" w:ascii="仿宋_GB2312" w:hAnsi="仿宋_GB2312" w:eastAsia="仿宋_GB2312"/>
              </w:rPr>
              <w:t>不及格</w:t>
            </w:r>
            <w:r>
              <w:rPr>
                <w:rFonts w:hint="eastAsia" w:ascii="仿宋_GB2312" w:hAnsi="仿宋_GB2312" w:eastAsia="仿宋_GB2312"/>
                <w:sz w:val="16"/>
                <w:szCs w:val="16"/>
              </w:rPr>
              <w:t>（59-0）；</w:t>
            </w:r>
            <w:r>
              <w:rPr>
                <w:rFonts w:hint="eastAsia" w:ascii="仿宋_GB2312" w:hAnsi="仿宋_GB2312" w:eastAsia="仿宋_GB2312"/>
                <w:b/>
              </w:rPr>
              <w:t>评价分数</w:t>
            </w:r>
            <w:r>
              <w:rPr>
                <w:rFonts w:hint="eastAsia" w:ascii="仿宋_GB2312" w:hAnsi="仿宋_GB2312" w:eastAsia="仿宋_GB2312"/>
                <w:b/>
                <w:u w:val="single"/>
              </w:rPr>
              <w:t xml:space="preserve">          </w:t>
            </w:r>
          </w:p>
        </w:tc>
        <w:tc>
          <w:tcPr>
            <w:tcW w:w="577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3" w:type="dxa"/>
            <w:gridSpan w:val="2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653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460" w:type="dxa"/>
            <w:vAlign w:val="center"/>
          </w:tcPr>
          <w:p>
            <w:pPr>
              <w:pStyle w:val="12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7" w:hRule="atLeast"/>
          <w:jc w:val="center"/>
        </w:trPr>
        <w:tc>
          <w:tcPr>
            <w:tcW w:w="9349" w:type="dxa"/>
            <w:gridSpan w:val="12"/>
          </w:tcPr>
          <w:p>
            <w:pPr>
              <w:pStyle w:val="12"/>
              <w:spacing w:before="186"/>
              <w:rPr>
                <w:rFonts w:ascii="宋体" w:eastAsia="宋体"/>
                <w:b/>
                <w:sz w:val="23"/>
              </w:rPr>
            </w:pPr>
            <w:r>
              <w:rPr>
                <w:rFonts w:hint="eastAsia" w:ascii="宋体" w:eastAsia="宋体"/>
                <w:b/>
                <w:sz w:val="23"/>
              </w:rPr>
              <w:t>综合建议：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234" w:type="dxa"/>
            <w:vAlign w:val="center"/>
          </w:tcPr>
          <w:p>
            <w:pPr>
              <w:pStyle w:val="12"/>
              <w:spacing w:before="78" w:line="249" w:lineRule="auto"/>
              <w:ind w:left="165" w:right="156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听课日期</w:t>
            </w:r>
          </w:p>
        </w:tc>
        <w:tc>
          <w:tcPr>
            <w:tcW w:w="4253" w:type="dxa"/>
            <w:gridSpan w:val="2"/>
            <w:vAlign w:val="center"/>
          </w:tcPr>
          <w:p>
            <w:pPr>
              <w:pStyle w:val="12"/>
              <w:tabs>
                <w:tab w:val="left" w:pos="1261"/>
                <w:tab w:val="left" w:pos="1848"/>
                <w:tab w:val="left" w:pos="2317"/>
                <w:tab w:val="left" w:pos="3139"/>
                <w:tab w:val="left" w:pos="3724"/>
              </w:tabs>
              <w:ind w:left="557" w:firstLine="220" w:firstLineChars="100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年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月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日，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星期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，第  节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听课人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单位</w:t>
            </w:r>
          </w:p>
        </w:tc>
        <w:tc>
          <w:tcPr>
            <w:tcW w:w="1027" w:type="dxa"/>
            <w:gridSpan w:val="2"/>
            <w:vAlign w:val="center"/>
          </w:tcPr>
          <w:p>
            <w:pPr>
              <w:pStyle w:val="12"/>
              <w:jc w:val="center"/>
              <w:rPr>
                <w:rFonts w:asciiTheme="minorEastAsia" w:hAnsiTheme="minorEastAsia" w:eastAsiaTheme="minorEastAsia"/>
              </w:rPr>
            </w:pPr>
          </w:p>
        </w:tc>
      </w:tr>
    </w:tbl>
    <w:p>
      <w:pPr>
        <w:rPr>
          <w:rFonts w:ascii="Times New Roman"/>
          <w:sz w:val="24"/>
          <w:szCs w:val="24"/>
          <w:lang w:val="en-US"/>
        </w:rPr>
      </w:pPr>
      <w:r>
        <w:rPr>
          <w:rFonts w:hint="eastAsia" w:ascii="Times New Roman"/>
          <w:sz w:val="24"/>
          <w:szCs w:val="24"/>
          <w:lang w:val="en-US"/>
        </w:rPr>
        <w:t xml:space="preserve"> 注：1.此表用于一般教师听课评价。2.此表适用于理论课（含教务系统中的理论课、理论+实践课）。</w:t>
      </w:r>
    </w:p>
    <w:sectPr>
      <w:footerReference r:id="rId3" w:type="default"/>
      <w:pgSz w:w="11850" w:h="16783"/>
      <w:pgMar w:top="1320" w:right="1037" w:bottom="845" w:left="138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DB01FB"/>
    <w:rsid w:val="0001683C"/>
    <w:rsid w:val="000955CD"/>
    <w:rsid w:val="000C2A3E"/>
    <w:rsid w:val="000D5C71"/>
    <w:rsid w:val="00102ECC"/>
    <w:rsid w:val="00120D2C"/>
    <w:rsid w:val="00145817"/>
    <w:rsid w:val="00161E37"/>
    <w:rsid w:val="00173E47"/>
    <w:rsid w:val="0018343B"/>
    <w:rsid w:val="0019615B"/>
    <w:rsid w:val="001B3283"/>
    <w:rsid w:val="001C3E47"/>
    <w:rsid w:val="001C74F7"/>
    <w:rsid w:val="001D290B"/>
    <w:rsid w:val="001E444E"/>
    <w:rsid w:val="001E5594"/>
    <w:rsid w:val="0020233F"/>
    <w:rsid w:val="0020767A"/>
    <w:rsid w:val="00220D08"/>
    <w:rsid w:val="00222701"/>
    <w:rsid w:val="0026508F"/>
    <w:rsid w:val="002771A4"/>
    <w:rsid w:val="00297C16"/>
    <w:rsid w:val="002A53DF"/>
    <w:rsid w:val="002A7BE7"/>
    <w:rsid w:val="002C4920"/>
    <w:rsid w:val="00330B45"/>
    <w:rsid w:val="00340DFD"/>
    <w:rsid w:val="003510F0"/>
    <w:rsid w:val="00363915"/>
    <w:rsid w:val="003828D8"/>
    <w:rsid w:val="003A681F"/>
    <w:rsid w:val="003F1859"/>
    <w:rsid w:val="00402225"/>
    <w:rsid w:val="004127F8"/>
    <w:rsid w:val="0041675A"/>
    <w:rsid w:val="004254F1"/>
    <w:rsid w:val="004477A8"/>
    <w:rsid w:val="00455A1D"/>
    <w:rsid w:val="00474F3E"/>
    <w:rsid w:val="004B093D"/>
    <w:rsid w:val="004B249C"/>
    <w:rsid w:val="004D18C4"/>
    <w:rsid w:val="004D5FE3"/>
    <w:rsid w:val="004F5508"/>
    <w:rsid w:val="00501DC7"/>
    <w:rsid w:val="0051321E"/>
    <w:rsid w:val="00533A5E"/>
    <w:rsid w:val="00571AB2"/>
    <w:rsid w:val="00572F56"/>
    <w:rsid w:val="005834FA"/>
    <w:rsid w:val="005B4A5B"/>
    <w:rsid w:val="005D70A9"/>
    <w:rsid w:val="00613723"/>
    <w:rsid w:val="006252DC"/>
    <w:rsid w:val="006467AF"/>
    <w:rsid w:val="006805BB"/>
    <w:rsid w:val="0068538C"/>
    <w:rsid w:val="006A27F0"/>
    <w:rsid w:val="006E2F6F"/>
    <w:rsid w:val="00724C2F"/>
    <w:rsid w:val="00741C4B"/>
    <w:rsid w:val="007C7CCB"/>
    <w:rsid w:val="007D2706"/>
    <w:rsid w:val="007E483A"/>
    <w:rsid w:val="007F03D2"/>
    <w:rsid w:val="00813BFB"/>
    <w:rsid w:val="00815D73"/>
    <w:rsid w:val="008C035F"/>
    <w:rsid w:val="008E5DD0"/>
    <w:rsid w:val="00927C22"/>
    <w:rsid w:val="00936FA6"/>
    <w:rsid w:val="009453F6"/>
    <w:rsid w:val="00962FEC"/>
    <w:rsid w:val="009949CF"/>
    <w:rsid w:val="009C361D"/>
    <w:rsid w:val="00A34DD4"/>
    <w:rsid w:val="00A617C4"/>
    <w:rsid w:val="00A63142"/>
    <w:rsid w:val="00AA6B95"/>
    <w:rsid w:val="00B2326B"/>
    <w:rsid w:val="00B242FD"/>
    <w:rsid w:val="00B45143"/>
    <w:rsid w:val="00B63E21"/>
    <w:rsid w:val="00B66685"/>
    <w:rsid w:val="00B67886"/>
    <w:rsid w:val="00B706B6"/>
    <w:rsid w:val="00B75EE4"/>
    <w:rsid w:val="00BF054B"/>
    <w:rsid w:val="00C26A28"/>
    <w:rsid w:val="00C62830"/>
    <w:rsid w:val="00C82288"/>
    <w:rsid w:val="00C94ECA"/>
    <w:rsid w:val="00CA1EB9"/>
    <w:rsid w:val="00CA7658"/>
    <w:rsid w:val="00D120EA"/>
    <w:rsid w:val="00D22639"/>
    <w:rsid w:val="00D2538D"/>
    <w:rsid w:val="00D36330"/>
    <w:rsid w:val="00D56110"/>
    <w:rsid w:val="00D64A84"/>
    <w:rsid w:val="00D808CD"/>
    <w:rsid w:val="00D851B4"/>
    <w:rsid w:val="00D97984"/>
    <w:rsid w:val="00DB01FB"/>
    <w:rsid w:val="00DC07D3"/>
    <w:rsid w:val="00E04C0E"/>
    <w:rsid w:val="00E20C6E"/>
    <w:rsid w:val="00E82CBC"/>
    <w:rsid w:val="00EF6A7C"/>
    <w:rsid w:val="00F146F5"/>
    <w:rsid w:val="00F378D1"/>
    <w:rsid w:val="00F571CF"/>
    <w:rsid w:val="00F65E9D"/>
    <w:rsid w:val="00F743BF"/>
    <w:rsid w:val="00FA13A0"/>
    <w:rsid w:val="00FC0B79"/>
    <w:rsid w:val="00FC742C"/>
    <w:rsid w:val="00FF0F44"/>
    <w:rsid w:val="09F910D8"/>
    <w:rsid w:val="2D6F434A"/>
    <w:rsid w:val="3FCE1CAC"/>
    <w:rsid w:val="44EF6A5F"/>
    <w:rsid w:val="67BB5F3C"/>
    <w:rsid w:val="7A1B3C38"/>
    <w:rsid w:val="7B4F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华文仿宋" w:hAnsi="华文仿宋" w:eastAsia="华文仿宋" w:cs="华文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20"/>
      <w:ind w:left="2" w:right="3"/>
      <w:jc w:val="center"/>
      <w:outlineLvl w:val="0"/>
    </w:pPr>
    <w:rPr>
      <w:rFonts w:ascii="华文中宋" w:hAnsi="华文中宋" w:eastAsia="华文中宋" w:cs="华文中宋"/>
      <w:sz w:val="68"/>
      <w:szCs w:val="68"/>
    </w:rPr>
  </w:style>
  <w:style w:type="paragraph" w:styleId="3">
    <w:name w:val="heading 2"/>
    <w:basedOn w:val="1"/>
    <w:next w:val="1"/>
    <w:qFormat/>
    <w:uiPriority w:val="1"/>
    <w:pPr>
      <w:spacing w:line="528" w:lineRule="exact"/>
      <w:ind w:left="2" w:right="2"/>
      <w:jc w:val="center"/>
      <w:outlineLvl w:val="1"/>
    </w:pPr>
    <w:rPr>
      <w:rFonts w:ascii="方正小标宋简体" w:hAnsi="方正小标宋简体" w:eastAsia="方正小标宋简体" w:cs="方正小标宋简体"/>
      <w:sz w:val="37"/>
      <w:szCs w:val="37"/>
    </w:rPr>
  </w:style>
  <w:style w:type="paragraph" w:styleId="4">
    <w:name w:val="heading 3"/>
    <w:basedOn w:val="1"/>
    <w:next w:val="1"/>
    <w:qFormat/>
    <w:uiPriority w:val="1"/>
    <w:pPr>
      <w:spacing w:before="52"/>
      <w:ind w:left="569" w:right="568"/>
      <w:jc w:val="center"/>
      <w:outlineLvl w:val="2"/>
    </w:pPr>
    <w:rPr>
      <w:rFonts w:ascii="黑体" w:hAnsi="黑体" w:eastAsia="黑体" w:cs="黑体"/>
      <w:b/>
      <w:bCs/>
      <w:sz w:val="26"/>
      <w:szCs w:val="26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仿宋" w:hAnsi="仿宋" w:eastAsia="仿宋" w:cs="仿宋"/>
      <w:sz w:val="26"/>
      <w:szCs w:val="26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10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脚 Char"/>
    <w:basedOn w:val="9"/>
    <w:link w:val="6"/>
    <w:qFormat/>
    <w:uiPriority w:val="0"/>
    <w:rPr>
      <w:rFonts w:ascii="华文仿宋" w:hAnsi="华文仿宋" w:eastAsia="华文仿宋" w:cs="华文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910</Characters>
  <Lines>7</Lines>
  <Paragraphs>2</Paragraphs>
  <TotalTime>1336</TotalTime>
  <ScaleCrop>false</ScaleCrop>
  <LinksUpToDate>false</LinksUpToDate>
  <CharactersWithSpaces>1067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2021-09-07T03:21:00Z</dcterms:created>
  <dc:creator>微软用户</dc:creator>
  <cp:lastModifiedBy>万军</cp:lastModifiedBy>
  <cp:lastPrinted>2022-01-07T04:38:00Z</cp:lastPrinted>
  <dcterms:modified xsi:type="dcterms:W3CDTF">2023-06-08T02:28:50Z</dcterms:modified>
  <dc:title>浙江水利水电专科学校听课记录表</dc:title>
  <cp:revision>1267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2021-09-07T00:00:00Z</vt:filetime>
  </property>
  <property fmtid="{D5CDD505-2E9C-101B-9397-08002B2CF9AE}" pid="5" name="KSOProductBuildVer">
    <vt:lpwstr>2052-11.8.2.8276</vt:lpwstr>
  </property>
</Properties>
</file>