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98619">
      <w:pPr>
        <w:pageBreakBefore/>
        <w:spacing w:before="0" w:after="0" w:line="300" w:lineRule="exact"/>
        <w:jc w:val="left"/>
      </w:pPr>
      <w:r>
        <w:rPr>
          <w:rFonts w:hint="eastAsia" w:ascii="黑体" w:hAnsi="黑体" w:eastAsia="黑体" w:cs="黑体"/>
          <w:b/>
          <w:color w:val="000000"/>
          <w:sz w:val="24"/>
          <w:szCs w:val="24"/>
        </w:rPr>
        <w:t>附件1</w:t>
      </w:r>
    </w:p>
    <w:p w14:paraId="69CB0EFE">
      <w:pPr>
        <w:spacing w:before="160" w:after="0" w:line="380" w:lineRule="exact"/>
        <w:jc w:val="center"/>
      </w:pPr>
      <w:r>
        <w:rPr>
          <w:rFonts w:hint="eastAsia" w:ascii="黑体" w:hAnsi="黑体" w:eastAsia="黑体" w:cs="黑体"/>
          <w:b/>
          <w:color w:val="000000"/>
          <w:sz w:val="30"/>
          <w:szCs w:val="30"/>
        </w:rPr>
        <w:t>浙江水利水电学院2026年本科专业评估技术服务项目</w:t>
      </w:r>
    </w:p>
    <w:p w14:paraId="09D60C09">
      <w:pPr>
        <w:spacing w:before="0" w:after="100" w:line="560" w:lineRule="exact"/>
        <w:jc w:val="center"/>
      </w:pPr>
      <w:r>
        <w:rPr>
          <w:rFonts w:hint="eastAsia" w:ascii="黑体" w:hAnsi="黑体" w:eastAsia="黑体" w:cs="黑体"/>
          <w:b/>
          <w:color w:val="000000"/>
          <w:sz w:val="44"/>
          <w:szCs w:val="44"/>
        </w:rPr>
        <w:t>报　价　单</w:t>
      </w:r>
    </w:p>
    <w:p w14:paraId="2DD85A43">
      <w:pPr>
        <w:spacing w:before="0" w:after="0" w:line="300" w:lineRule="exact"/>
        <w:jc w:val="left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项目编号：XQ-2026-01732515</w:t>
      </w:r>
    </w:p>
    <w:p w14:paraId="74190842">
      <w:pPr>
        <w:spacing w:before="0" w:after="0" w:line="300" w:lineRule="exact"/>
        <w:jc w:val="left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报价人（单位全称）：　　　　　　　　　　　　　　　　（加盖单位公章）</w:t>
      </w:r>
    </w:p>
    <w:p w14:paraId="205E0EC8">
      <w:pPr>
        <w:spacing w:before="0" w:after="0" w:line="300" w:lineRule="exact"/>
        <w:jc w:val="left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报价日期：　　　　年　　月　　日</w:t>
      </w:r>
    </w:p>
    <w:p w14:paraId="5D54D3FE">
      <w:pPr>
        <w:spacing w:before="60" w:after="20" w:line="280" w:lineRule="exact"/>
        <w:jc w:val="center"/>
      </w:pPr>
      <w:r>
        <w:rPr>
          <w:rFonts w:hint="eastAsia" w:ascii="黑体" w:hAnsi="黑体" w:eastAsia="黑体" w:cs="黑体"/>
          <w:b/>
          <w:color w:val="000000"/>
          <w:sz w:val="21"/>
          <w:szCs w:val="21"/>
        </w:rPr>
        <w:t>表2　报价明细表</w:t>
      </w:r>
    </w:p>
    <w:tbl>
      <w:tblPr>
        <w:tblStyle w:val="2"/>
        <w:tblW w:w="9412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680"/>
        <w:gridCol w:w="2154"/>
        <w:gridCol w:w="4876"/>
        <w:gridCol w:w="1702"/>
      </w:tblGrid>
      <w:tr w14:paraId="1E5ABF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1E9A7AAF">
            <w:pPr>
              <w:spacing w:before="20" w:after="20" w:line="240" w:lineRule="exact"/>
              <w:jc w:val="center"/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2154" w:type="dxa"/>
            <w:shd w:val="clear" w:color="auto" w:fill="F2F2F2"/>
            <w:vAlign w:val="center"/>
          </w:tcPr>
          <w:p w14:paraId="19F3D3CB">
            <w:pPr>
              <w:spacing w:before="20" w:after="20" w:line="240" w:lineRule="exact"/>
              <w:jc w:val="center"/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服务事项</w:t>
            </w:r>
          </w:p>
        </w:tc>
        <w:tc>
          <w:tcPr>
            <w:tcW w:w="4876" w:type="dxa"/>
            <w:shd w:val="clear" w:color="auto" w:fill="F2F2F2"/>
            <w:vAlign w:val="center"/>
          </w:tcPr>
          <w:p w14:paraId="693B43DF">
            <w:pPr>
              <w:spacing w:before="20" w:after="20" w:line="240" w:lineRule="exact"/>
              <w:jc w:val="center"/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服务内容摘要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13F0A04E">
            <w:pPr>
              <w:spacing w:before="20" w:after="20" w:line="240" w:lineRule="exact"/>
              <w:jc w:val="center"/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含税报价（元）</w:t>
            </w:r>
          </w:p>
        </w:tc>
      </w:tr>
      <w:tr w14:paraId="616A33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2F3A2B5">
            <w:pPr>
              <w:spacing w:before="20" w:after="20" w:line="240" w:lineRule="exac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</w:t>
            </w:r>
          </w:p>
        </w:tc>
        <w:tc>
          <w:tcPr>
            <w:tcW w:w="2154" w:type="dxa"/>
            <w:vAlign w:val="center"/>
          </w:tcPr>
          <w:p w14:paraId="31362DB9">
            <w:pPr>
              <w:spacing w:before="20" w:after="20" w:line="240" w:lineRule="exact"/>
              <w:jc w:val="both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评估业务材料收集归集配置</w:t>
            </w:r>
          </w:p>
        </w:tc>
        <w:tc>
          <w:tcPr>
            <w:tcW w:w="4876" w:type="dxa"/>
            <w:vAlign w:val="center"/>
          </w:tcPr>
          <w:p w14:paraId="0560BBB0">
            <w:pPr>
              <w:spacing w:before="20" w:after="20" w:line="240" w:lineRule="exact"/>
              <w:jc w:val="both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评估业务材料归集功能配置，搭建适配学校评估业务的评估采集表格</w:t>
            </w:r>
          </w:p>
        </w:tc>
        <w:tc>
          <w:tcPr>
            <w:tcW w:w="1702" w:type="dxa"/>
            <w:vMerge w:val="restart"/>
            <w:vAlign w:val="center"/>
          </w:tcPr>
          <w:p w14:paraId="5669D7B4">
            <w:pPr>
              <w:spacing w:before="20" w:after="20" w:line="240" w:lineRule="exac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小写 ¥</w:t>
            </w:r>
          </w:p>
        </w:tc>
      </w:tr>
      <w:tr w14:paraId="4EE65A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49B8B298">
            <w:pPr>
              <w:spacing w:before="20" w:after="20" w:line="240" w:lineRule="exac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54" w:type="dxa"/>
            <w:vAlign w:val="center"/>
          </w:tcPr>
          <w:p w14:paraId="72A81508">
            <w:pPr>
              <w:spacing w:before="20" w:after="20" w:line="240" w:lineRule="exact"/>
              <w:jc w:val="both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评估指标解析与算法配置</w:t>
            </w:r>
          </w:p>
        </w:tc>
        <w:tc>
          <w:tcPr>
            <w:tcW w:w="4876" w:type="dxa"/>
            <w:vAlign w:val="center"/>
          </w:tcPr>
          <w:p w14:paraId="41DCB739">
            <w:pPr>
              <w:spacing w:before="20" w:after="20" w:line="240" w:lineRule="exact"/>
              <w:jc w:val="both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对评估指标逐项开展业务解析，完成指标计算逻辑、计分规则、阈值条件、权重分配的系统内算法配置与模型落地</w:t>
            </w:r>
          </w:p>
        </w:tc>
        <w:tc>
          <w:tcPr>
            <w:tcW w:w="1702" w:type="dxa"/>
            <w:vMerge w:val="continue"/>
            <w:vAlign w:val="center"/>
          </w:tcPr>
          <w:p w14:paraId="30E7DF73">
            <w:pPr>
              <w:spacing w:before="20" w:after="20" w:line="240" w:lineRule="exact"/>
              <w:jc w:val="center"/>
            </w:pPr>
          </w:p>
        </w:tc>
      </w:tr>
      <w:tr w14:paraId="4D9247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51451FBC">
            <w:pPr>
              <w:spacing w:before="20" w:after="20" w:line="240" w:lineRule="exac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</w:t>
            </w:r>
          </w:p>
        </w:tc>
        <w:tc>
          <w:tcPr>
            <w:tcW w:w="2154" w:type="dxa"/>
            <w:vAlign w:val="center"/>
          </w:tcPr>
          <w:p w14:paraId="60DBE370">
            <w:pPr>
              <w:spacing w:before="20" w:after="20" w:line="240" w:lineRule="exact"/>
              <w:jc w:val="both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原始数据校验与评估运算</w:t>
            </w:r>
          </w:p>
        </w:tc>
        <w:tc>
          <w:tcPr>
            <w:tcW w:w="4876" w:type="dxa"/>
            <w:vAlign w:val="center"/>
          </w:tcPr>
          <w:p w14:paraId="19D411DC">
            <w:pPr>
              <w:spacing w:before="20" w:after="20" w:line="240" w:lineRule="exact"/>
              <w:jc w:val="both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对导入的各专业原始数据开展校验，按既定规则完成单项指标得分计算与加权汇总计算</w:t>
            </w:r>
          </w:p>
        </w:tc>
        <w:tc>
          <w:tcPr>
            <w:tcW w:w="1702" w:type="dxa"/>
            <w:vMerge w:val="continue"/>
            <w:vAlign w:val="center"/>
          </w:tcPr>
          <w:p w14:paraId="4E9A684C">
            <w:pPr>
              <w:spacing w:before="20" w:after="20" w:line="240" w:lineRule="exact"/>
              <w:jc w:val="center"/>
            </w:pPr>
          </w:p>
        </w:tc>
      </w:tr>
      <w:tr w14:paraId="71E622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1D89387">
            <w:pPr>
              <w:spacing w:before="20" w:after="20" w:line="240" w:lineRule="exac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4</w:t>
            </w:r>
          </w:p>
        </w:tc>
        <w:tc>
          <w:tcPr>
            <w:tcW w:w="2154" w:type="dxa"/>
            <w:vAlign w:val="center"/>
          </w:tcPr>
          <w:p w14:paraId="6A4D788A">
            <w:pPr>
              <w:spacing w:before="20" w:after="20" w:line="240" w:lineRule="exact"/>
              <w:jc w:val="both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得分总表与排名生成</w:t>
            </w:r>
          </w:p>
        </w:tc>
        <w:tc>
          <w:tcPr>
            <w:tcW w:w="4876" w:type="dxa"/>
            <w:vAlign w:val="center"/>
          </w:tcPr>
          <w:p w14:paraId="61BE9002">
            <w:pPr>
              <w:spacing w:before="20" w:after="20" w:line="240" w:lineRule="exact"/>
              <w:jc w:val="both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生成专业评估汇总总表，含各单项指标原始分值、单项得分、综合得分及校内专业排名</w:t>
            </w:r>
          </w:p>
        </w:tc>
        <w:tc>
          <w:tcPr>
            <w:tcW w:w="1702" w:type="dxa"/>
            <w:vMerge w:val="continue"/>
            <w:vAlign w:val="center"/>
          </w:tcPr>
          <w:p w14:paraId="352E6126">
            <w:pPr>
              <w:spacing w:before="20" w:after="20" w:line="240" w:lineRule="exact"/>
              <w:jc w:val="center"/>
            </w:pPr>
          </w:p>
        </w:tc>
      </w:tr>
      <w:tr w14:paraId="172BF7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CE0D4A3">
            <w:pPr>
              <w:spacing w:before="20" w:after="20" w:line="240" w:lineRule="exac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5</w:t>
            </w:r>
          </w:p>
        </w:tc>
        <w:tc>
          <w:tcPr>
            <w:tcW w:w="2154" w:type="dxa"/>
            <w:vAlign w:val="center"/>
          </w:tcPr>
          <w:p w14:paraId="1FCD3DBA">
            <w:pPr>
              <w:spacing w:before="20" w:after="20" w:line="240" w:lineRule="exact"/>
              <w:jc w:val="both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结果自查与一致性校验</w:t>
            </w:r>
          </w:p>
        </w:tc>
        <w:tc>
          <w:tcPr>
            <w:tcW w:w="4876" w:type="dxa"/>
            <w:vAlign w:val="center"/>
          </w:tcPr>
          <w:p w14:paraId="50EF38B3">
            <w:pPr>
              <w:spacing w:before="20" w:after="20" w:line="240" w:lineRule="exact"/>
              <w:jc w:val="both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核对计算结果与给定指标、权重规则的一致性，完成自查校验</w:t>
            </w:r>
          </w:p>
        </w:tc>
        <w:tc>
          <w:tcPr>
            <w:tcW w:w="1702" w:type="dxa"/>
            <w:vMerge w:val="continue"/>
            <w:vAlign w:val="center"/>
          </w:tcPr>
          <w:p w14:paraId="784ECD16">
            <w:pPr>
              <w:spacing w:before="20" w:after="20" w:line="240" w:lineRule="exact"/>
              <w:jc w:val="center"/>
            </w:pPr>
          </w:p>
        </w:tc>
      </w:tr>
      <w:tr w14:paraId="76B7BE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5A33C3A5">
            <w:pPr>
              <w:spacing w:before="20" w:after="20" w:line="240" w:lineRule="exac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54" w:type="dxa"/>
            <w:vAlign w:val="center"/>
          </w:tcPr>
          <w:p w14:paraId="2DD71F55">
            <w:pPr>
              <w:spacing w:before="20" w:after="20" w:line="240" w:lineRule="exact"/>
              <w:jc w:val="both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配套报告</w:t>
            </w:r>
          </w:p>
        </w:tc>
        <w:tc>
          <w:tcPr>
            <w:tcW w:w="4876" w:type="dxa"/>
            <w:vAlign w:val="center"/>
          </w:tcPr>
          <w:p w14:paraId="5C60F235">
            <w:pPr>
              <w:spacing w:before="20" w:after="20" w:line="240" w:lineRule="exact"/>
              <w:jc w:val="both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根据排名提供配套报告</w:t>
            </w:r>
          </w:p>
        </w:tc>
        <w:tc>
          <w:tcPr>
            <w:tcW w:w="1702" w:type="dxa"/>
            <w:vMerge w:val="continue"/>
            <w:vAlign w:val="center"/>
          </w:tcPr>
          <w:p w14:paraId="49A8671F">
            <w:pPr>
              <w:spacing w:before="20" w:after="20" w:line="240" w:lineRule="exact"/>
              <w:jc w:val="center"/>
            </w:pPr>
          </w:p>
        </w:tc>
      </w:tr>
      <w:tr w14:paraId="280130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59F84633">
            <w:pPr>
              <w:spacing w:before="20" w:after="20" w:line="240" w:lineRule="exac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合计</w:t>
            </w:r>
          </w:p>
        </w:tc>
        <w:tc>
          <w:tcPr>
            <w:tcW w:w="8732" w:type="dxa"/>
            <w:gridSpan w:val="3"/>
            <w:vAlign w:val="center"/>
          </w:tcPr>
          <w:p w14:paraId="1AF099EA">
            <w:pPr>
              <w:spacing w:before="20" w:after="20" w:line="240" w:lineRule="exac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人民币（大写）：　　　　　　　　　　　　　　　元整</w:t>
            </w:r>
          </w:p>
        </w:tc>
      </w:tr>
    </w:tbl>
    <w:p w14:paraId="0F760042">
      <w:pPr>
        <w:spacing w:before="180" w:after="0" w:line="300" w:lineRule="exact"/>
        <w:jc w:val="left"/>
      </w:pPr>
      <w:r>
        <w:rPr>
          <w:rFonts w:hint="eastAsia" w:ascii="黑体" w:hAnsi="黑体" w:eastAsia="黑体" w:cs="黑体"/>
          <w:b/>
          <w:color w:val="000000"/>
          <w:sz w:val="24"/>
          <w:szCs w:val="24"/>
        </w:rPr>
        <w:t>说明：</w:t>
      </w:r>
    </w:p>
    <w:p w14:paraId="5C3A4771">
      <w:pPr>
        <w:spacing w:before="0" w:after="0" w:line="300" w:lineRule="exact"/>
        <w:ind w:firstLine="480" w:firstLineChars="200"/>
        <w:jc w:val="both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1.本报价为人民币含税总价，已包含完成本项目全部服务内容所需的人工、差旅、资料、会议、评审劳务、税费等一切费用，学校不再另行支付其他费用。</w:t>
      </w:r>
    </w:p>
    <w:p w14:paraId="203A59DB">
      <w:pPr>
        <w:spacing w:before="0" w:after="0" w:line="300" w:lineRule="exact"/>
        <w:ind w:firstLine="480" w:firstLineChars="200"/>
        <w:jc w:val="both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2.表2所列6项服务事项须全部报价，不得缺项、漏项，不得选择性报价。</w:t>
      </w:r>
    </w:p>
    <w:p w14:paraId="749DDD68">
      <w:pPr>
        <w:spacing w:before="300" w:after="0" w:line="300" w:lineRule="exact"/>
        <w:ind w:firstLine="480" w:firstLineChars="200"/>
        <w:jc w:val="left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报价人（盖章）：</w:t>
      </w:r>
    </w:p>
    <w:p w14:paraId="0A844CF4">
      <w:pPr>
        <w:spacing w:before="200" w:after="0" w:line="300" w:lineRule="exact"/>
        <w:ind w:firstLine="480" w:firstLineChars="200"/>
        <w:jc w:val="left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日期：　　　　年　　月　　日</w:t>
      </w:r>
    </w:p>
    <w:p w14:paraId="424D5F22">
      <w:pPr>
        <w:pageBreakBefore/>
        <w:spacing w:before="0" w:after="0" w:line="300" w:lineRule="exact"/>
        <w:jc w:val="left"/>
      </w:pPr>
      <w:r>
        <w:rPr>
          <w:rFonts w:hint="eastAsia" w:ascii="黑体" w:hAnsi="黑体" w:eastAsia="黑体" w:cs="黑体"/>
          <w:b/>
          <w:color w:val="000000"/>
          <w:sz w:val="24"/>
          <w:szCs w:val="24"/>
        </w:rPr>
        <w:t>附件2</w:t>
      </w:r>
    </w:p>
    <w:p w14:paraId="252EB324">
      <w:pPr>
        <w:spacing w:before="100" w:after="160" w:line="560" w:lineRule="exact"/>
        <w:jc w:val="center"/>
      </w:pPr>
      <w:r>
        <w:rPr>
          <w:rFonts w:hint="eastAsia" w:ascii="黑体" w:hAnsi="黑体" w:eastAsia="黑体" w:cs="黑体"/>
          <w:b/>
          <w:color w:val="000000"/>
          <w:sz w:val="44"/>
          <w:szCs w:val="44"/>
        </w:rPr>
        <w:t>承　诺　函</w:t>
      </w:r>
    </w:p>
    <w:p w14:paraId="0A0285FB">
      <w:pPr>
        <w:spacing w:before="0" w:after="0" w:line="300" w:lineRule="exact"/>
        <w:jc w:val="left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浙江水利水电学院：</w:t>
      </w:r>
    </w:p>
    <w:p w14:paraId="27BB3A35">
      <w:pPr>
        <w:spacing w:before="0" w:after="0" w:line="300" w:lineRule="exact"/>
        <w:ind w:firstLine="480" w:firstLineChars="200"/>
        <w:jc w:val="both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我单位参加浙江水利水电学院2026年本科专业评估技术服务项目（项目编号：XQ-2026-01732515）询价采购活动，现就有关事项作出如下承诺：</w:t>
      </w:r>
    </w:p>
    <w:p w14:paraId="79B74AF6">
      <w:pPr>
        <w:spacing w:before="0" w:after="0" w:line="300" w:lineRule="exact"/>
        <w:ind w:firstLine="480" w:firstLineChars="200"/>
        <w:jc w:val="both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一、参加本次采购活动前三年内，我单位在经营活动中无重大违法违规记录，未被列入失信被执行人名单、重大税收违法案件当事人名单、政府采购严重违法失信行为记录名单。</w:t>
      </w:r>
    </w:p>
    <w:p w14:paraId="1B8E604A">
      <w:pPr>
        <w:spacing w:before="0" w:after="0" w:line="300" w:lineRule="exact"/>
        <w:ind w:firstLine="480" w:firstLineChars="200"/>
        <w:jc w:val="both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二、我单位具有独立承担民事责任的能力，具备履行本项目合同所必需的设备和专业技术能力，拥有可独立完成指标算法配置与评估运算的自有系统平台，配置内容及运算结果由我单位负责。</w:t>
      </w:r>
    </w:p>
    <w:p w14:paraId="2D48AF8F">
      <w:pPr>
        <w:spacing w:before="0" w:after="0" w:line="300" w:lineRule="exact"/>
        <w:ind w:firstLine="480" w:firstLineChars="200"/>
        <w:jc w:val="both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三、我单位参与本项目的报名主体、投标主体、合同签订主体、货款结算主体与履约主体一致。</w:t>
      </w:r>
    </w:p>
    <w:p w14:paraId="02956631">
      <w:pPr>
        <w:spacing w:before="0" w:after="0" w:line="300" w:lineRule="exact"/>
        <w:ind w:firstLine="480" w:firstLineChars="200"/>
        <w:jc w:val="both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四、我单位已充分理解并接受本项目采购需求的全部内容，响应文件及报价覆盖表1所列全部6项服务事项，不存在选择性报价。</w:t>
      </w:r>
    </w:p>
    <w:p w14:paraId="22B61CEF">
      <w:pPr>
        <w:spacing w:before="0" w:after="0" w:line="300" w:lineRule="exact"/>
        <w:ind w:firstLine="480" w:firstLineChars="200"/>
        <w:jc w:val="both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五、我单位承诺自合同签订之日起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个月内完成全部服务内容并提交最终成果，服务成果以纸质文本及可编辑电子文档两种形式交付。</w:t>
      </w:r>
    </w:p>
    <w:p w14:paraId="560AD8D0">
      <w:pPr>
        <w:spacing w:before="0" w:after="0" w:line="300" w:lineRule="exact"/>
        <w:ind w:firstLine="480" w:firstLineChars="200"/>
        <w:jc w:val="both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六、我单位对服务过程中接触的学校数据、材料及评估结果严格保密，不向第三方提供、不用于本项目以外的其他用途；项目成果知识产权归浙江水利水电学院所有。</w:t>
      </w:r>
    </w:p>
    <w:p w14:paraId="7DBFA97C">
      <w:pPr>
        <w:spacing w:before="0" w:after="0" w:line="300" w:lineRule="exact"/>
        <w:ind w:firstLine="480" w:firstLineChars="200"/>
        <w:jc w:val="both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七、我单位提交的全部材料真实、有效，如有虚假，愿承担相应责任并接受取消成交资格等处理。</w:t>
      </w:r>
    </w:p>
    <w:p w14:paraId="5D153537">
      <w:pPr>
        <w:spacing w:before="300" w:after="0" w:line="300" w:lineRule="exact"/>
        <w:ind w:firstLine="480" w:firstLineChars="200"/>
        <w:jc w:val="left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报价人（盖章）：</w:t>
      </w:r>
    </w:p>
    <w:p w14:paraId="0FDE026B">
      <w:pPr>
        <w:spacing w:before="200" w:after="0" w:line="300" w:lineRule="exact"/>
        <w:ind w:firstLine="480" w:firstLineChars="200"/>
        <w:jc w:val="left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日期：　　　　年　　月　　日</w:t>
      </w:r>
    </w:p>
    <w:p w14:paraId="69D24210">
      <w:pPr>
        <w:spacing w:line="300" w:lineRule="exact"/>
      </w:pPr>
    </w:p>
    <w:p w14:paraId="3F57F77B">
      <w:bookmarkStart w:id="0" w:name="_GoBack"/>
      <w:bookmarkEnd w:id="0"/>
    </w:p>
    <w:sectPr>
      <w:footerReference r:id="rId3" w:type="default"/>
      <w:pgSz w:w="11907" w:h="16839"/>
      <w:pgMar w:top="1134" w:right="1247" w:bottom="1134" w:left="1247" w:header="567" w:footer="56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D25C6">
    <w:pPr>
      <w:jc w:val="center"/>
    </w:pPr>
    <w:r>
      <w:rPr>
        <w:color w:val="888888"/>
        <w:sz w:val="18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color w:val="888888"/>
        <w:sz w:val="1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DD3448"/>
    <w:rsid w:val="4FDD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2026-10-21T01:30:00Z</dcterms:created>
  <dc:creator>zhangqing</dc:creator>
  <cp:lastModifiedBy>zhangqing</cp:lastModifiedBy>
  <dcterms:modified xsi:type="dcterms:W3CDTF">2026-10-21T01:30:53Z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10BAAA9FFF804A3887E866B41568766A_11</vt:lpwstr>
  </property>
  <property fmtid="{D5CDD505-2E9C-101B-9397-08002B2CF9AE}" pid="4" name="KSOTemplateDocerSaveRecord">
    <vt:lpwstr>eyJoZGlkIjoiY2RiZmU0MWZlZjE3YzdiMmFhMjRmOTAzMzI1YWQ5ODEiLCJ1c2VySWQiOiI0MTk4NjE1NDYifQ==</vt:lpwstr>
  </property>
</Properties>
</file>